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77C54" w14:textId="77777777" w:rsidR="00F8580A" w:rsidRDefault="00F8580A">
      <w:pPr>
        <w:pStyle w:val="Body"/>
        <w:spacing w:line="360" w:lineRule="auto"/>
        <w:ind w:right="810"/>
        <w:rPr>
          <w:rFonts w:ascii="Century Gothic" w:hAnsi="Century Gothic"/>
          <w:sz w:val="21"/>
          <w:szCs w:val="21"/>
          <w:lang w:val="de-DE"/>
        </w:rPr>
      </w:pPr>
    </w:p>
    <w:p w14:paraId="003DAB4B" w14:textId="2B72A015"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lang w:val="de-DE"/>
        </w:rPr>
        <w:t xml:space="preserve">Date:  </w:t>
      </w:r>
      <w:r>
        <w:rPr>
          <w:rFonts w:ascii="Century Gothic" w:hAnsi="Century Gothic"/>
          <w:sz w:val="21"/>
          <w:szCs w:val="21"/>
          <w:lang w:val="de-DE"/>
        </w:rPr>
        <w:tab/>
        <w:t>1</w:t>
      </w:r>
      <w:r w:rsidR="00980551">
        <w:rPr>
          <w:rFonts w:ascii="Century Gothic" w:hAnsi="Century Gothic"/>
          <w:sz w:val="21"/>
          <w:szCs w:val="21"/>
          <w:lang w:val="de-DE"/>
        </w:rPr>
        <w:t>2</w:t>
      </w:r>
      <w:r>
        <w:rPr>
          <w:rFonts w:ascii="Century Gothic" w:hAnsi="Century Gothic"/>
          <w:sz w:val="21"/>
          <w:szCs w:val="21"/>
          <w:lang w:val="de-DE"/>
        </w:rPr>
        <w:t>/</w:t>
      </w:r>
      <w:r w:rsidR="00D22149">
        <w:rPr>
          <w:rFonts w:ascii="Century Gothic" w:hAnsi="Century Gothic"/>
          <w:sz w:val="21"/>
          <w:szCs w:val="21"/>
          <w:lang w:val="de-DE"/>
        </w:rPr>
        <w:t>7</w:t>
      </w:r>
      <w:r>
        <w:rPr>
          <w:rFonts w:ascii="Century Gothic" w:hAnsi="Century Gothic"/>
          <w:sz w:val="21"/>
          <w:szCs w:val="21"/>
          <w:lang w:val="de-DE"/>
        </w:rPr>
        <w:t>/2020</w:t>
      </w:r>
    </w:p>
    <w:p w14:paraId="58E1029C" w14:textId="77777777"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rPr>
        <w:t xml:space="preserve">To: </w:t>
      </w:r>
      <w:r>
        <w:rPr>
          <w:rFonts w:ascii="Century Gothic" w:hAnsi="Century Gothic"/>
          <w:sz w:val="21"/>
          <w:szCs w:val="21"/>
        </w:rPr>
        <w:tab/>
        <w:t>All Communities in Lake and Peninsula Borough</w:t>
      </w:r>
    </w:p>
    <w:p w14:paraId="4B2DF483" w14:textId="77777777"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rPr>
        <w:t xml:space="preserve">From:  </w:t>
      </w:r>
      <w:r>
        <w:rPr>
          <w:rFonts w:ascii="Century Gothic" w:hAnsi="Century Gothic"/>
          <w:sz w:val="21"/>
          <w:szCs w:val="21"/>
        </w:rPr>
        <w:tab/>
        <w:t xml:space="preserve">Nathan Hill, Manager </w:t>
      </w:r>
    </w:p>
    <w:p w14:paraId="3D0A25A6" w14:textId="417AF456"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rPr>
        <w:t xml:space="preserve">Re: </w:t>
      </w:r>
      <w:r>
        <w:rPr>
          <w:rFonts w:ascii="Century Gothic" w:hAnsi="Century Gothic"/>
          <w:sz w:val="21"/>
          <w:szCs w:val="21"/>
        </w:rPr>
        <w:tab/>
        <w:t xml:space="preserve">Weekly Update – </w:t>
      </w:r>
      <w:r w:rsidR="00980551">
        <w:rPr>
          <w:rFonts w:ascii="Century Gothic" w:hAnsi="Century Gothic"/>
          <w:sz w:val="21"/>
          <w:szCs w:val="21"/>
        </w:rPr>
        <w:t>Nov 30</w:t>
      </w:r>
      <w:r>
        <w:rPr>
          <w:rFonts w:ascii="Century Gothic" w:hAnsi="Century Gothic"/>
          <w:sz w:val="21"/>
          <w:szCs w:val="21"/>
        </w:rPr>
        <w:t xml:space="preserve"> thru </w:t>
      </w:r>
      <w:r w:rsidR="00980551">
        <w:rPr>
          <w:rFonts w:ascii="Century Gothic" w:hAnsi="Century Gothic"/>
          <w:sz w:val="21"/>
          <w:szCs w:val="21"/>
        </w:rPr>
        <w:t>Dec 4</w:t>
      </w:r>
    </w:p>
    <w:p w14:paraId="7DF89370" w14:textId="3E45C958" w:rsidR="00F8580A" w:rsidRDefault="00F8580A">
      <w:pPr>
        <w:pStyle w:val="Body"/>
        <w:ind w:right="810"/>
        <w:rPr>
          <w:rFonts w:ascii="Century Gothic" w:hAnsi="Century Gothic"/>
          <w:sz w:val="21"/>
          <w:szCs w:val="21"/>
        </w:rPr>
      </w:pPr>
    </w:p>
    <w:p w14:paraId="164A066B" w14:textId="2204F337" w:rsidR="00980551" w:rsidRDefault="00D22149">
      <w:pPr>
        <w:pStyle w:val="Body"/>
        <w:ind w:right="810"/>
        <w:rPr>
          <w:rFonts w:ascii="Century Gothic" w:hAnsi="Century Gothic"/>
          <w:sz w:val="21"/>
          <w:szCs w:val="21"/>
        </w:rPr>
      </w:pPr>
      <w:r>
        <w:rPr>
          <w:rFonts w:ascii="Century Gothic" w:hAnsi="Century Gothic"/>
          <w:sz w:val="21"/>
          <w:szCs w:val="21"/>
        </w:rPr>
        <w:t xml:space="preserve">COVID-19 vaccine distribution planning is starting to move. This is a 3-phase process with healthcare ‘frontline’ workers and those most vulnerable (e.g., residents of long-term care facilities) included in phase 1 of the distribution. There is not yet an exact </w:t>
      </w:r>
      <w:proofErr w:type="gramStart"/>
      <w:r>
        <w:rPr>
          <w:rFonts w:ascii="Century Gothic" w:hAnsi="Century Gothic"/>
          <w:sz w:val="21"/>
          <w:szCs w:val="21"/>
        </w:rPr>
        <w:t>timeline</w:t>
      </w:r>
      <w:proofErr w:type="gramEnd"/>
      <w:r>
        <w:rPr>
          <w:rFonts w:ascii="Century Gothic" w:hAnsi="Century Gothic"/>
          <w:sz w:val="21"/>
          <w:szCs w:val="21"/>
        </w:rPr>
        <w:t xml:space="preserve"> but we anticipate the first phase of vaccines to be distributed later this month. We will be sharing more information on the distribution plan and timeline for our region in the weeks ahead. </w:t>
      </w:r>
    </w:p>
    <w:p w14:paraId="6534F988" w14:textId="77777777" w:rsidR="00D22149" w:rsidRDefault="00D22149">
      <w:pPr>
        <w:pStyle w:val="Body"/>
        <w:ind w:right="810"/>
        <w:rPr>
          <w:rFonts w:ascii="Century Gothic" w:hAnsi="Century Gothic"/>
          <w:sz w:val="21"/>
          <w:szCs w:val="21"/>
        </w:rPr>
      </w:pPr>
    </w:p>
    <w:p w14:paraId="62D104E9" w14:textId="6E0D07FB" w:rsidR="00980551" w:rsidRDefault="00980551" w:rsidP="00980551">
      <w:pPr>
        <w:pStyle w:val="Body"/>
        <w:ind w:right="810"/>
        <w:rPr>
          <w:rFonts w:ascii="Century Gothic" w:hAnsi="Century Gothic"/>
          <w:sz w:val="21"/>
          <w:szCs w:val="21"/>
        </w:rPr>
      </w:pPr>
      <w:r w:rsidRPr="00980551">
        <w:rPr>
          <w:rFonts w:ascii="Century Gothic" w:hAnsi="Century Gothic"/>
          <w:sz w:val="21"/>
          <w:szCs w:val="21"/>
        </w:rPr>
        <w:t>The CDC revised their </w:t>
      </w:r>
      <w:hyperlink r:id="rId8" w:tgtFrame="_blank" w:history="1">
        <w:r w:rsidRPr="00980551">
          <w:rPr>
            <w:rStyle w:val="Hyperlink"/>
            <w:rFonts w:ascii="Century Gothic" w:hAnsi="Century Gothic"/>
            <w:sz w:val="21"/>
            <w:szCs w:val="21"/>
          </w:rPr>
          <w:t>quarantine guidance</w:t>
        </w:r>
      </w:hyperlink>
      <w:r w:rsidRPr="00980551">
        <w:rPr>
          <w:rFonts w:ascii="Century Gothic" w:hAnsi="Century Gothic"/>
          <w:sz w:val="21"/>
          <w:szCs w:val="21"/>
        </w:rPr>
        <w:t> </w:t>
      </w:r>
      <w:r>
        <w:rPr>
          <w:rFonts w:ascii="Century Gothic" w:hAnsi="Century Gothic"/>
          <w:sz w:val="21"/>
          <w:szCs w:val="21"/>
        </w:rPr>
        <w:t>earlier this week</w:t>
      </w:r>
      <w:r w:rsidRPr="00980551">
        <w:rPr>
          <w:rFonts w:ascii="Century Gothic" w:hAnsi="Century Gothic"/>
          <w:sz w:val="21"/>
          <w:szCs w:val="21"/>
        </w:rPr>
        <w:t xml:space="preserve"> to allow people who may have been exposed to COVID-19 to shorten their quarantine period from 14 days to as few as 7 days with a negative COVID-19 test. </w:t>
      </w:r>
      <w:r>
        <w:rPr>
          <w:rFonts w:ascii="Century Gothic" w:hAnsi="Century Gothic"/>
          <w:sz w:val="21"/>
          <w:szCs w:val="21"/>
        </w:rPr>
        <w:t xml:space="preserve">The </w:t>
      </w:r>
      <w:r w:rsidRPr="00980551">
        <w:rPr>
          <w:rFonts w:ascii="Century Gothic" w:hAnsi="Century Gothic"/>
          <w:sz w:val="21"/>
          <w:szCs w:val="21"/>
        </w:rPr>
        <w:t xml:space="preserve">CDC continues to recommend a quarantine period of 14 days, but now provides two new options to shorten quarantine based on local circumstances and resources. </w:t>
      </w:r>
      <w:r>
        <w:rPr>
          <w:rFonts w:ascii="Century Gothic" w:hAnsi="Century Gothic"/>
          <w:sz w:val="21"/>
          <w:szCs w:val="21"/>
        </w:rPr>
        <w:t>T</w:t>
      </w:r>
      <w:r w:rsidRPr="00980551">
        <w:rPr>
          <w:rFonts w:ascii="Century Gothic" w:hAnsi="Century Gothic"/>
          <w:sz w:val="21"/>
          <w:szCs w:val="21"/>
        </w:rPr>
        <w:t xml:space="preserve">he </w:t>
      </w:r>
      <w:r>
        <w:rPr>
          <w:rFonts w:ascii="Century Gothic" w:hAnsi="Century Gothic"/>
          <w:sz w:val="21"/>
          <w:szCs w:val="21"/>
        </w:rPr>
        <w:t xml:space="preserve">State of Alaska DHSS </w:t>
      </w:r>
      <w:r w:rsidRPr="00980551">
        <w:rPr>
          <w:rFonts w:ascii="Century Gothic" w:hAnsi="Century Gothic"/>
          <w:sz w:val="21"/>
          <w:szCs w:val="21"/>
        </w:rPr>
        <w:t>supports the following options to reduce quarantine for contacts of persons with</w:t>
      </w:r>
      <w:r>
        <w:rPr>
          <w:rFonts w:ascii="Century Gothic" w:hAnsi="Century Gothic"/>
          <w:sz w:val="21"/>
          <w:szCs w:val="21"/>
        </w:rPr>
        <w:t xml:space="preserve"> COVID-19</w:t>
      </w:r>
      <w:r w:rsidRPr="00980551">
        <w:rPr>
          <w:rFonts w:ascii="Century Gothic" w:hAnsi="Century Gothic"/>
          <w:sz w:val="21"/>
          <w:szCs w:val="21"/>
        </w:rPr>
        <w:t>:</w:t>
      </w:r>
    </w:p>
    <w:p w14:paraId="3F837167" w14:textId="77777777" w:rsidR="00980551" w:rsidRPr="00980551" w:rsidRDefault="00980551" w:rsidP="00980551">
      <w:pPr>
        <w:pStyle w:val="Body"/>
        <w:ind w:right="810"/>
        <w:rPr>
          <w:rFonts w:ascii="Century Gothic" w:hAnsi="Century Gothic"/>
          <w:sz w:val="21"/>
          <w:szCs w:val="21"/>
        </w:rPr>
      </w:pPr>
    </w:p>
    <w:p w14:paraId="07B652A3" w14:textId="77777777" w:rsidR="00980551" w:rsidRPr="00980551" w:rsidRDefault="00980551" w:rsidP="00980551">
      <w:pPr>
        <w:pStyle w:val="Body"/>
        <w:numPr>
          <w:ilvl w:val="0"/>
          <w:numId w:val="5"/>
        </w:numPr>
        <w:ind w:right="810"/>
        <w:rPr>
          <w:rFonts w:ascii="Century Gothic" w:hAnsi="Century Gothic"/>
          <w:sz w:val="21"/>
          <w:szCs w:val="21"/>
        </w:rPr>
      </w:pPr>
      <w:r w:rsidRPr="00980551">
        <w:rPr>
          <w:rFonts w:ascii="Century Gothic" w:hAnsi="Century Gothic"/>
          <w:sz w:val="21"/>
          <w:szCs w:val="21"/>
        </w:rPr>
        <w:t> Quarantine can end </w:t>
      </w:r>
      <w:r w:rsidRPr="00980551">
        <w:rPr>
          <w:rFonts w:ascii="Century Gothic" w:hAnsi="Century Gothic"/>
          <w:i/>
          <w:iCs/>
          <w:sz w:val="21"/>
          <w:szCs w:val="21"/>
        </w:rPr>
        <w:t>after</w:t>
      </w:r>
      <w:r w:rsidRPr="00980551">
        <w:rPr>
          <w:rFonts w:ascii="Century Gothic" w:hAnsi="Century Gothic"/>
          <w:sz w:val="21"/>
          <w:szCs w:val="21"/>
        </w:rPr>
        <w:t> 10 days, on day 11, without testing if no symptoms have been reported during daily symptom monitoring. People should continue to monitor for symptoms for 14 days; if symptoms arise, self-isolate and get tested promptly.</w:t>
      </w:r>
    </w:p>
    <w:p w14:paraId="788CF195" w14:textId="74CF8700" w:rsidR="00980551" w:rsidRPr="00980551" w:rsidRDefault="00980551" w:rsidP="00980551">
      <w:pPr>
        <w:pStyle w:val="Body"/>
        <w:numPr>
          <w:ilvl w:val="0"/>
          <w:numId w:val="5"/>
        </w:numPr>
        <w:ind w:right="810"/>
        <w:rPr>
          <w:rFonts w:ascii="Century Gothic" w:hAnsi="Century Gothic"/>
          <w:sz w:val="21"/>
          <w:szCs w:val="21"/>
        </w:rPr>
      </w:pPr>
      <w:r w:rsidRPr="00980551">
        <w:rPr>
          <w:rFonts w:ascii="Century Gothic" w:hAnsi="Century Gothic"/>
          <w:sz w:val="21"/>
          <w:szCs w:val="21"/>
        </w:rPr>
        <w:t> If communities have enough testing resources, quarantine can end </w:t>
      </w:r>
      <w:r w:rsidRPr="00980551">
        <w:rPr>
          <w:rFonts w:ascii="Century Gothic" w:hAnsi="Century Gothic"/>
          <w:i/>
          <w:iCs/>
          <w:sz w:val="21"/>
          <w:szCs w:val="21"/>
        </w:rPr>
        <w:t>after</w:t>
      </w:r>
      <w:r w:rsidRPr="00980551">
        <w:rPr>
          <w:rFonts w:ascii="Century Gothic" w:hAnsi="Century Gothic"/>
          <w:sz w:val="21"/>
          <w:szCs w:val="21"/>
        </w:rPr>
        <w:t xml:space="preserve"> 7 days, on day 8, if the person takes a COVID-19 test </w:t>
      </w:r>
      <w:r>
        <w:rPr>
          <w:rFonts w:ascii="Century Gothic" w:hAnsi="Century Gothic"/>
          <w:sz w:val="21"/>
          <w:szCs w:val="21"/>
        </w:rPr>
        <w:t xml:space="preserve">within 48 hours of day 7 </w:t>
      </w:r>
      <w:r w:rsidRPr="00980551">
        <w:rPr>
          <w:rFonts w:ascii="Century Gothic" w:hAnsi="Century Gothic"/>
          <w:sz w:val="21"/>
          <w:szCs w:val="21"/>
        </w:rPr>
        <w:t>and receives a negative result. The person needs to stay in quarantine until their test result comes back. Quarantine cannot be discontinued earlier than day 8, even if the test result comes back earlier. People should continue to monitor for symptoms for 14 days; if symptoms arise, self-isolate and get tested promptly.</w:t>
      </w:r>
    </w:p>
    <w:p w14:paraId="5B8BACA5" w14:textId="77777777" w:rsidR="00980551" w:rsidRDefault="00980551">
      <w:pPr>
        <w:pStyle w:val="Body"/>
        <w:ind w:right="810"/>
        <w:rPr>
          <w:rFonts w:ascii="Century Gothic" w:hAnsi="Century Gothic"/>
          <w:sz w:val="21"/>
          <w:szCs w:val="21"/>
        </w:rPr>
      </w:pPr>
    </w:p>
    <w:p w14:paraId="03F16FDC" w14:textId="28DF1B89" w:rsidR="00980551" w:rsidRPr="00980551" w:rsidRDefault="00980551" w:rsidP="00980551">
      <w:pPr>
        <w:pStyle w:val="Body"/>
        <w:ind w:right="810"/>
        <w:rPr>
          <w:rFonts w:ascii="Century Gothic" w:hAnsi="Century Gothic"/>
          <w:sz w:val="21"/>
          <w:szCs w:val="21"/>
        </w:rPr>
      </w:pPr>
      <w:r>
        <w:rPr>
          <w:rFonts w:ascii="Century Gothic" w:hAnsi="Century Gothic"/>
          <w:sz w:val="21"/>
          <w:szCs w:val="21"/>
        </w:rPr>
        <w:t>Please check in with and continue to follow local ordinances and protocols. CDC guidance and State recommendations do not cancel or invalidate local ordinances currently in place. It is critical to remember that we are still in a state of high alert and risk</w:t>
      </w:r>
      <w:r w:rsidR="00D22149">
        <w:rPr>
          <w:rFonts w:ascii="Century Gothic" w:hAnsi="Century Gothic"/>
          <w:sz w:val="21"/>
          <w:szCs w:val="21"/>
        </w:rPr>
        <w:t xml:space="preserve"> with several hundred new cases reported daily. </w:t>
      </w:r>
    </w:p>
    <w:p w14:paraId="14B03E14" w14:textId="77777777" w:rsidR="00980551" w:rsidRDefault="00980551">
      <w:pPr>
        <w:pStyle w:val="Body"/>
        <w:ind w:right="810"/>
        <w:rPr>
          <w:rFonts w:ascii="Century Gothic" w:hAnsi="Century Gothic"/>
          <w:sz w:val="21"/>
          <w:szCs w:val="21"/>
        </w:rPr>
      </w:pPr>
    </w:p>
    <w:p w14:paraId="2E026DE3" w14:textId="4622C0A8" w:rsidR="00980551" w:rsidRDefault="00980551">
      <w:pPr>
        <w:pStyle w:val="Body"/>
        <w:ind w:right="810"/>
        <w:rPr>
          <w:rFonts w:ascii="Century Gothic" w:hAnsi="Century Gothic"/>
          <w:sz w:val="21"/>
          <w:szCs w:val="21"/>
        </w:rPr>
      </w:pPr>
      <w:r>
        <w:rPr>
          <w:rFonts w:ascii="Century Gothic" w:hAnsi="Century Gothic"/>
          <w:sz w:val="21"/>
          <w:szCs w:val="21"/>
        </w:rPr>
        <w:t xml:space="preserve">In other news, </w:t>
      </w:r>
      <w:r w:rsidRPr="00980551">
        <w:rPr>
          <w:rFonts w:ascii="Century Gothic" w:hAnsi="Century Gothic"/>
          <w:sz w:val="21"/>
          <w:szCs w:val="21"/>
        </w:rPr>
        <w:t xml:space="preserve">USDA's Seafood Trade Relief Program </w:t>
      </w:r>
      <w:r>
        <w:rPr>
          <w:rFonts w:ascii="Century Gothic" w:hAnsi="Century Gothic"/>
          <w:sz w:val="21"/>
          <w:szCs w:val="21"/>
        </w:rPr>
        <w:t xml:space="preserve">has </w:t>
      </w:r>
      <w:hyperlink r:id="rId9" w:history="1">
        <w:r w:rsidRPr="00980551">
          <w:rPr>
            <w:rStyle w:val="Hyperlink"/>
            <w:rFonts w:ascii="Century Gothic" w:hAnsi="Century Gothic"/>
            <w:sz w:val="21"/>
            <w:szCs w:val="21"/>
          </w:rPr>
          <w:t>extended</w:t>
        </w:r>
      </w:hyperlink>
      <w:r>
        <w:rPr>
          <w:rFonts w:ascii="Century Gothic" w:hAnsi="Century Gothic"/>
          <w:sz w:val="21"/>
          <w:szCs w:val="21"/>
        </w:rPr>
        <w:t xml:space="preserve"> the </w:t>
      </w:r>
      <w:r w:rsidRPr="00980551">
        <w:rPr>
          <w:rFonts w:ascii="Century Gothic" w:hAnsi="Century Gothic"/>
          <w:sz w:val="21"/>
          <w:szCs w:val="21"/>
        </w:rPr>
        <w:t xml:space="preserve">deadline </w:t>
      </w:r>
      <w:r>
        <w:rPr>
          <w:rFonts w:ascii="Century Gothic" w:hAnsi="Century Gothic"/>
          <w:sz w:val="21"/>
          <w:szCs w:val="21"/>
        </w:rPr>
        <w:t xml:space="preserve">to apply for these funds. </w:t>
      </w:r>
      <w:r w:rsidRPr="00980551">
        <w:rPr>
          <w:rFonts w:ascii="Century Gothic" w:hAnsi="Century Gothic"/>
          <w:sz w:val="21"/>
          <w:szCs w:val="21"/>
        </w:rPr>
        <w:t>Fishermen can now signup for the program through January 15, 2021.</w:t>
      </w:r>
    </w:p>
    <w:p w14:paraId="7EB8503B" w14:textId="77777777" w:rsidR="00980551" w:rsidRDefault="00980551">
      <w:pPr>
        <w:pStyle w:val="Body"/>
        <w:ind w:right="810"/>
        <w:rPr>
          <w:rFonts w:ascii="Century Gothic" w:hAnsi="Century Gothic"/>
          <w:sz w:val="21"/>
          <w:szCs w:val="21"/>
        </w:rPr>
      </w:pPr>
    </w:p>
    <w:p w14:paraId="5787A00A" w14:textId="5D7DC593" w:rsidR="00784320" w:rsidRPr="00D22149" w:rsidRDefault="00980551" w:rsidP="00D22149">
      <w:pPr>
        <w:pStyle w:val="Body"/>
        <w:ind w:right="810"/>
        <w:rPr>
          <w:rFonts w:ascii="Century Gothic" w:hAnsi="Century Gothic"/>
          <w:sz w:val="21"/>
          <w:szCs w:val="21"/>
        </w:rPr>
      </w:pPr>
      <w:r w:rsidRPr="00980551">
        <w:rPr>
          <w:rFonts w:ascii="Century Gothic" w:hAnsi="Century Gothic"/>
          <w:sz w:val="21"/>
          <w:szCs w:val="21"/>
        </w:rPr>
        <w:t xml:space="preserve">Finally, after months of delay, Congress appears to be moving toward an agreement on a $908 billion package to provide additional support for people and communities </w:t>
      </w:r>
      <w:r>
        <w:rPr>
          <w:rFonts w:ascii="Century Gothic" w:hAnsi="Century Gothic"/>
          <w:sz w:val="21"/>
          <w:szCs w:val="21"/>
        </w:rPr>
        <w:t xml:space="preserve">still </w:t>
      </w:r>
      <w:r w:rsidRPr="00980551">
        <w:rPr>
          <w:rFonts w:ascii="Century Gothic" w:hAnsi="Century Gothic"/>
          <w:sz w:val="21"/>
          <w:szCs w:val="21"/>
        </w:rPr>
        <w:t xml:space="preserve">reeling from the health and economic consequences of the pandemic. </w:t>
      </w:r>
      <w:r>
        <w:rPr>
          <w:rFonts w:ascii="Century Gothic" w:hAnsi="Century Gothic"/>
          <w:sz w:val="21"/>
          <w:szCs w:val="21"/>
        </w:rPr>
        <w:t>T</w:t>
      </w:r>
      <w:r w:rsidRPr="00980551">
        <w:rPr>
          <w:rFonts w:ascii="Century Gothic" w:hAnsi="Century Gothic"/>
          <w:sz w:val="21"/>
          <w:szCs w:val="21"/>
        </w:rPr>
        <w:t xml:space="preserve">his package includes $160 billion for State, Local, and Tribal Governments; $180 billion in additional Unemployment Insurance (UI); and $288 billion for the Paycheck Protection Program (PPP); </w:t>
      </w:r>
      <w:r>
        <w:rPr>
          <w:rFonts w:ascii="Century Gothic" w:hAnsi="Century Gothic"/>
          <w:sz w:val="21"/>
          <w:szCs w:val="21"/>
        </w:rPr>
        <w:t xml:space="preserve">and more. </w:t>
      </w:r>
    </w:p>
    <w:sectPr w:rsidR="00784320" w:rsidRPr="00D22149">
      <w:headerReference w:type="first" r:id="rId10"/>
      <w:footerReference w:type="first" r:id="rId11"/>
      <w:pgSz w:w="12240" w:h="15840"/>
      <w:pgMar w:top="720" w:right="720" w:bottom="720" w:left="720" w:header="288" w:footer="14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F34E9" w14:textId="77777777" w:rsidR="004726D5" w:rsidRDefault="004726D5">
      <w:r>
        <w:separator/>
      </w:r>
    </w:p>
  </w:endnote>
  <w:endnote w:type="continuationSeparator" w:id="0">
    <w:p w14:paraId="511983C9" w14:textId="77777777" w:rsidR="004726D5" w:rsidRDefault="0047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8FD04" w14:textId="77777777" w:rsidR="00784320" w:rsidRDefault="00311C6E">
    <w:pPr>
      <w:pStyle w:val="Style"/>
      <w:spacing w:line="187" w:lineRule="exact"/>
      <w:ind w:left="1382" w:right="1" w:firstLine="206"/>
      <w:jc w:val="center"/>
      <w:rPr>
        <w:rFonts w:ascii="Arial" w:eastAsia="Arial" w:hAnsi="Arial" w:cs="Arial"/>
        <w:color w:val="000080"/>
        <w:sz w:val="15"/>
        <w:szCs w:val="15"/>
        <w:u w:color="000080"/>
      </w:rPr>
    </w:pPr>
    <w:r>
      <w:rPr>
        <w:rFonts w:ascii="Arial" w:hAnsi="Arial"/>
        <w:color w:val="000080"/>
        <w:sz w:val="15"/>
        <w:szCs w:val="15"/>
        <w:u w:color="000080"/>
      </w:rPr>
      <w:t>Chignik Bay • Chignik Lagoon• Chignik Lake• Egegik • Igiugig• Iliamna • Ivanof</w:t>
    </w:r>
    <w:r>
      <w:rPr>
        <w:rFonts w:ascii="Arial" w:hAnsi="Arial"/>
        <w:color w:val="000080"/>
        <w:sz w:val="14"/>
        <w:szCs w:val="14"/>
        <w:u w:color="000080"/>
      </w:rPr>
      <w:t xml:space="preserve"> </w:t>
    </w:r>
    <w:r>
      <w:rPr>
        <w:rFonts w:ascii="Arial" w:hAnsi="Arial"/>
        <w:color w:val="000080"/>
        <w:sz w:val="15"/>
        <w:szCs w:val="15"/>
        <w:u w:color="000080"/>
      </w:rPr>
      <w:t xml:space="preserve">Bay• Kokhanok• Levelock • Newhalen • Nondalton• Pedro Bay• Perryville• Pilot Point• Pope </w:t>
    </w:r>
    <w:proofErr w:type="spellStart"/>
    <w:r>
      <w:rPr>
        <w:rFonts w:ascii="Arial" w:hAnsi="Arial"/>
        <w:color w:val="000080"/>
        <w:sz w:val="15"/>
        <w:szCs w:val="15"/>
        <w:u w:color="000080"/>
      </w:rPr>
      <w:t>Vannoy</w:t>
    </w:r>
    <w:proofErr w:type="spellEnd"/>
    <w:r>
      <w:rPr>
        <w:rFonts w:ascii="Arial" w:hAnsi="Arial"/>
        <w:color w:val="000080"/>
        <w:sz w:val="15"/>
        <w:szCs w:val="15"/>
        <w:u w:color="000080"/>
      </w:rPr>
      <w:t xml:space="preserve">• Port Alsworth• Port Heiden• Ugashik </w:t>
    </w:r>
  </w:p>
  <w:p w14:paraId="0B0F479E" w14:textId="77777777" w:rsidR="00784320" w:rsidRDefault="00784320">
    <w:pPr>
      <w:pStyle w:val="Style"/>
      <w:ind w:left="360"/>
      <w:rPr>
        <w:rFonts w:ascii="Arial" w:eastAsia="Arial" w:hAnsi="Arial" w:cs="Arial"/>
        <w:sz w:val="15"/>
        <w:szCs w:val="15"/>
      </w:rPr>
    </w:pPr>
  </w:p>
  <w:p w14:paraId="643B1E9C" w14:textId="77777777" w:rsidR="00784320" w:rsidRDefault="00784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20D62" w14:textId="77777777" w:rsidR="004726D5" w:rsidRDefault="004726D5">
      <w:r>
        <w:separator/>
      </w:r>
    </w:p>
  </w:footnote>
  <w:footnote w:type="continuationSeparator" w:id="0">
    <w:p w14:paraId="4158B350" w14:textId="77777777" w:rsidR="004726D5" w:rsidRDefault="00472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0C6AB" w14:textId="77777777" w:rsidR="00784320" w:rsidRDefault="00311C6E">
    <w:pPr>
      <w:pStyle w:val="Body"/>
    </w:pPr>
    <w:r>
      <w:rPr>
        <w:noProof/>
      </w:rPr>
      <w:drawing>
        <wp:anchor distT="152400" distB="152400" distL="152400" distR="152400" simplePos="0" relativeHeight="251658240" behindDoc="1" locked="0" layoutInCell="1" allowOverlap="1" wp14:anchorId="6778A315" wp14:editId="5821AE51">
          <wp:simplePos x="0" y="0"/>
          <wp:positionH relativeFrom="page">
            <wp:posOffset>5060950</wp:posOffset>
          </wp:positionH>
          <wp:positionV relativeFrom="page">
            <wp:posOffset>141606</wp:posOffset>
          </wp:positionV>
          <wp:extent cx="2145665" cy="1633220"/>
          <wp:effectExtent l="0" t="0" r="0" b="0"/>
          <wp:wrapNone/>
          <wp:docPr id="1073741826" name="officeArt object" descr="Picture 9"/>
          <wp:cNvGraphicFramePr/>
          <a:graphic xmlns:a="http://schemas.openxmlformats.org/drawingml/2006/main">
            <a:graphicData uri="http://schemas.openxmlformats.org/drawingml/2006/picture">
              <pic:pic xmlns:pic="http://schemas.openxmlformats.org/drawingml/2006/picture">
                <pic:nvPicPr>
                  <pic:cNvPr id="1073741826" name="Picture 9" descr="Picture 9"/>
                  <pic:cNvPicPr>
                    <a:picLocks noChangeAspect="1"/>
                  </pic:cNvPicPr>
                </pic:nvPicPr>
                <pic:blipFill>
                  <a:blip r:embed="rId1"/>
                  <a:stretch>
                    <a:fillRect/>
                  </a:stretch>
                </pic:blipFill>
                <pic:spPr>
                  <a:xfrm>
                    <a:off x="0" y="0"/>
                    <a:ext cx="2145665" cy="163322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3FE7D0F1" wp14:editId="3B4775C8">
              <wp:simplePos x="0" y="0"/>
              <wp:positionH relativeFrom="page">
                <wp:posOffset>2260600</wp:posOffset>
              </wp:positionH>
              <wp:positionV relativeFrom="page">
                <wp:posOffset>290829</wp:posOffset>
              </wp:positionV>
              <wp:extent cx="2971800" cy="1485900"/>
              <wp:effectExtent l="0" t="0" r="0" b="0"/>
              <wp:wrapNone/>
              <wp:docPr id="1073741827" name="officeArt object" descr="Text Box 8"/>
              <wp:cNvGraphicFramePr/>
              <a:graphic xmlns:a="http://schemas.openxmlformats.org/drawingml/2006/main">
                <a:graphicData uri="http://schemas.microsoft.com/office/word/2010/wordprocessingShape">
                  <wps:wsp>
                    <wps:cNvSpPr txBox="1"/>
                    <wps:spPr>
                      <a:xfrm>
                        <a:off x="0" y="0"/>
                        <a:ext cx="2971800" cy="1485900"/>
                      </a:xfrm>
                      <a:prstGeom prst="rect">
                        <a:avLst/>
                      </a:prstGeom>
                      <a:solidFill>
                        <a:srgbClr val="FFFFFF"/>
                      </a:solidFill>
                      <a:ln w="12700" cap="flat">
                        <a:noFill/>
                        <a:miter lim="400000"/>
                      </a:ln>
                      <a:effectLst/>
                    </wps:spPr>
                    <wps:txbx>
                      <w:txbxContent>
                        <w:p w14:paraId="20B760E8" w14:textId="77777777" w:rsidR="00784320" w:rsidRDefault="00311C6E">
                          <w:pPr>
                            <w:pStyle w:val="Body"/>
                            <w:jc w:val="center"/>
                            <w:rPr>
                              <w:b/>
                              <w:bCs/>
                              <w:i/>
                              <w:iCs/>
                              <w:color w:val="000080"/>
                              <w:sz w:val="32"/>
                              <w:szCs w:val="32"/>
                              <w:u w:color="000080"/>
                            </w:rPr>
                          </w:pPr>
                          <w:r>
                            <w:rPr>
                              <w:b/>
                              <w:bCs/>
                              <w:i/>
                              <w:iCs/>
                              <w:color w:val="000080"/>
                              <w:sz w:val="32"/>
                              <w:szCs w:val="32"/>
                              <w:u w:color="000080"/>
                            </w:rPr>
                            <w:t>Lake and Peninsula Borough</w:t>
                          </w:r>
                        </w:p>
                        <w:p w14:paraId="360D5FB3" w14:textId="77777777" w:rsidR="00784320" w:rsidRDefault="00311C6E">
                          <w:pPr>
                            <w:pStyle w:val="Body"/>
                            <w:jc w:val="center"/>
                            <w:rPr>
                              <w:i/>
                              <w:iCs/>
                              <w:color w:val="000080"/>
                              <w:sz w:val="28"/>
                              <w:szCs w:val="28"/>
                              <w:u w:color="000080"/>
                            </w:rPr>
                          </w:pPr>
                          <w:r>
                            <w:rPr>
                              <w:i/>
                              <w:iCs/>
                              <w:color w:val="000080"/>
                              <w:sz w:val="28"/>
                              <w:szCs w:val="28"/>
                              <w:u w:color="000080"/>
                            </w:rPr>
                            <w:t>P.O. Box 495</w:t>
                          </w:r>
                        </w:p>
                        <w:p w14:paraId="3A1D3171" w14:textId="77777777" w:rsidR="00784320" w:rsidRDefault="00311C6E">
                          <w:pPr>
                            <w:pStyle w:val="Body"/>
                            <w:jc w:val="center"/>
                            <w:rPr>
                              <w:i/>
                              <w:iCs/>
                              <w:color w:val="000080"/>
                              <w:sz w:val="28"/>
                              <w:szCs w:val="28"/>
                              <w:u w:color="000080"/>
                            </w:rPr>
                          </w:pPr>
                          <w:r>
                            <w:rPr>
                              <w:i/>
                              <w:iCs/>
                              <w:color w:val="000080"/>
                              <w:sz w:val="28"/>
                              <w:szCs w:val="28"/>
                              <w:u w:color="000080"/>
                            </w:rPr>
                            <w:t xml:space="preserve">King Salmon, </w:t>
                          </w:r>
                          <w:proofErr w:type="gramStart"/>
                          <w:r>
                            <w:rPr>
                              <w:i/>
                              <w:iCs/>
                              <w:color w:val="000080"/>
                              <w:sz w:val="28"/>
                              <w:szCs w:val="28"/>
                              <w:u w:color="000080"/>
                            </w:rPr>
                            <w:t>Alaska  99613</w:t>
                          </w:r>
                          <w:proofErr w:type="gramEnd"/>
                        </w:p>
                        <w:p w14:paraId="0CFE869C" w14:textId="77777777" w:rsidR="00784320" w:rsidRDefault="00784320">
                          <w:pPr>
                            <w:pStyle w:val="Body"/>
                            <w:jc w:val="center"/>
                            <w:rPr>
                              <w:i/>
                              <w:iCs/>
                              <w:color w:val="000080"/>
                              <w:sz w:val="28"/>
                              <w:szCs w:val="28"/>
                              <w:u w:color="000080"/>
                            </w:rPr>
                          </w:pPr>
                        </w:p>
                        <w:p w14:paraId="1B7EB7E3" w14:textId="77777777" w:rsidR="00784320" w:rsidRDefault="00311C6E">
                          <w:pPr>
                            <w:pStyle w:val="Body"/>
                            <w:jc w:val="center"/>
                            <w:rPr>
                              <w:i/>
                              <w:iCs/>
                              <w:color w:val="000080"/>
                              <w:sz w:val="28"/>
                              <w:szCs w:val="28"/>
                              <w:u w:color="000080"/>
                            </w:rPr>
                          </w:pPr>
                          <w:r>
                            <w:rPr>
                              <w:i/>
                              <w:iCs/>
                              <w:color w:val="000080"/>
                              <w:sz w:val="28"/>
                              <w:szCs w:val="28"/>
                              <w:u w:color="000080"/>
                              <w:lang w:val="it-IT"/>
                            </w:rPr>
                            <w:t>Telephone:  (907) 246-3421</w:t>
                          </w:r>
                        </w:p>
                        <w:p w14:paraId="67612F31" w14:textId="77777777" w:rsidR="00784320" w:rsidRDefault="00311C6E">
                          <w:pPr>
                            <w:pStyle w:val="Body"/>
                            <w:jc w:val="center"/>
                          </w:pPr>
                          <w:r>
                            <w:rPr>
                              <w:i/>
                              <w:iCs/>
                              <w:color w:val="000080"/>
                              <w:sz w:val="28"/>
                              <w:szCs w:val="28"/>
                              <w:u w:color="000080"/>
                            </w:rPr>
                            <w:t>Fax</w:t>
                          </w:r>
                          <w:proofErr w:type="gramStart"/>
                          <w:r>
                            <w:rPr>
                              <w:i/>
                              <w:iCs/>
                              <w:color w:val="000080"/>
                              <w:sz w:val="28"/>
                              <w:szCs w:val="28"/>
                              <w:u w:color="000080"/>
                            </w:rPr>
                            <w:t>:  (</w:t>
                          </w:r>
                          <w:proofErr w:type="gramEnd"/>
                          <w:r>
                            <w:rPr>
                              <w:i/>
                              <w:iCs/>
                              <w:color w:val="000080"/>
                              <w:sz w:val="28"/>
                              <w:szCs w:val="28"/>
                              <w:u w:color="000080"/>
                            </w:rPr>
                            <w:t>907) 246-6602</w:t>
                          </w:r>
                        </w:p>
                      </w:txbxContent>
                    </wps:txbx>
                    <wps:bodyPr wrap="square" lIns="45719" tIns="45719" rIns="45719" bIns="45719" numCol="1" anchor="t">
                      <a:noAutofit/>
                    </wps:bodyPr>
                  </wps:wsp>
                </a:graphicData>
              </a:graphic>
            </wp:anchor>
          </w:drawing>
        </mc:Choice>
        <mc:Fallback>
          <w:pict>
            <v:shapetype w14:anchorId="3FE7D0F1" id="_x0000_t202" coordsize="21600,21600" o:spt="202" path="m,l,21600r21600,l21600,xe">
              <v:stroke joinstyle="miter"/>
              <v:path gradientshapeok="t" o:connecttype="rect"/>
            </v:shapetype>
            <v:shape id="officeArt object" o:spid="_x0000_s1026" type="#_x0000_t202" alt="Text Box 8" style="position:absolute;margin-left:178pt;margin-top:22.9pt;width:234pt;height:117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TtK/wEAAOsDAAAOAAAAZHJzL2Uyb0RvYy54bWysU8tu2zAQvBfoPxC815Jcp7INy0GawEWB&#10;oimQ9AMoirRYkFyVpC3577ukZMdtb0F0oLgPze7Ojja3g9HkKJxXYCtazHJKhOXQKLuv6M/n3Ycl&#10;JT4w2zANVlT0JDy93b5/t+m7tZhDC7oRjiCI9eu+q2gbQrfOMs9bYZifQScsBiU4wwKabp81jvWI&#10;bnQ2z/NPWQ+u6Rxw4T16H8Yg3SZ8KQUPj1J6EYiuKPYW0unSWccz227Yeu9Y1yo+tcFe0YVhymLR&#10;C9QDC4wcnPoPyijuwIMMMw4mAykVF2kGnKbI/5nmqWWdSLMgOb670OTfDpZ/P/5wRDW4u7z8WC6K&#10;5bykxDKDuxq7u3OBQP0LmaSkEZ4jec9iCOQzDGQZ+es7v0aYpw6BwoBuxDr7PTojLYN0Jr4RkmAc&#10;N3G6sB/BODrnq7JY5hjiGCsWy5sVGoifvXzeOR++CDAkXirqYlMRlh2/+TCmnlOi24NWzU5pnQy3&#10;r++1I0eGUtilZ0L/K01b0mP5eZk6YShJqdlYxULESooxKqBstTIVXeTxmaC0jaVEEt7UUqRnpCHe&#10;wlAPE2c1NCekrEfxVdT/PjAnKNFfLW53cVMWK1TrteGujfrasAdzDzhUQQmzvAXc0Lnhu0MAqRI1&#10;sfpYEimNBioqkTupP0r22k5ZL//o9g8AAAD//wMAUEsDBBQABgAIAAAAIQAprDie5gAAAA8BAAAP&#10;AAAAZHJzL2Rvd25yZXYueG1sTI/NTsMwEITvSLyDtUjcqEPahpDGqSgoSEUgIIDE0YlNEhGvg+22&#10;4e1ZTnBZaf9m5svXkxnYXjvfWxRwPouAaWys6rEV8PpSnqXAfJCo5GBRC/jWHtbF8VEuM2UP+Kz3&#10;VWgZiaDPpIAuhDHj3DedNtLP7KiRdh/WGRmodS1XTh5I3Aw8jqKEG9kjOXRy1Nedbj6rnRFw/z5v&#10;Nv2mTu6etg/my92+PZZVKcTpyXSzonK1Ahb0FP4+4JeB8kNBwWq7Q+XZIGC+TAgoCFgsiYMO0nhB&#10;g1pAfHGZAi9y/p+j+AEAAP//AwBQSwECLQAUAAYACAAAACEAtoM4kv4AAADhAQAAEwAAAAAAAAAA&#10;AAAAAAAAAAAAW0NvbnRlbnRfVHlwZXNdLnhtbFBLAQItABQABgAIAAAAIQA4/SH/1gAAAJQBAAAL&#10;AAAAAAAAAAAAAAAAAC8BAABfcmVscy8ucmVsc1BLAQItABQABgAIAAAAIQC9NTtK/wEAAOsDAAAO&#10;AAAAAAAAAAAAAAAAAC4CAABkcnMvZTJvRG9jLnhtbFBLAQItABQABgAIAAAAIQAprDie5gAAAA8B&#10;AAAPAAAAAAAAAAAAAAAAAFkEAABkcnMvZG93bnJldi54bWxQSwUGAAAAAAQABADzAAAAbAUAAAAA&#10;" stroked="f" strokeweight="1pt">
              <v:stroke miterlimit="4"/>
              <v:textbox inset="1.27mm,1.27mm,1.27mm,1.27mm">
                <w:txbxContent>
                  <w:p w14:paraId="20B760E8" w14:textId="77777777" w:rsidR="00784320" w:rsidRDefault="00311C6E">
                    <w:pPr>
                      <w:pStyle w:val="Body"/>
                      <w:jc w:val="center"/>
                      <w:rPr>
                        <w:b/>
                        <w:bCs/>
                        <w:i/>
                        <w:iCs/>
                        <w:color w:val="000080"/>
                        <w:sz w:val="32"/>
                        <w:szCs w:val="32"/>
                        <w:u w:color="000080"/>
                      </w:rPr>
                    </w:pPr>
                    <w:r>
                      <w:rPr>
                        <w:b/>
                        <w:bCs/>
                        <w:i/>
                        <w:iCs/>
                        <w:color w:val="000080"/>
                        <w:sz w:val="32"/>
                        <w:szCs w:val="32"/>
                        <w:u w:color="000080"/>
                      </w:rPr>
                      <w:t>Lake and Peninsula Borough</w:t>
                    </w:r>
                  </w:p>
                  <w:p w14:paraId="360D5FB3" w14:textId="77777777" w:rsidR="00784320" w:rsidRDefault="00311C6E">
                    <w:pPr>
                      <w:pStyle w:val="Body"/>
                      <w:jc w:val="center"/>
                      <w:rPr>
                        <w:i/>
                        <w:iCs/>
                        <w:color w:val="000080"/>
                        <w:sz w:val="28"/>
                        <w:szCs w:val="28"/>
                        <w:u w:color="000080"/>
                      </w:rPr>
                    </w:pPr>
                    <w:r>
                      <w:rPr>
                        <w:i/>
                        <w:iCs/>
                        <w:color w:val="000080"/>
                        <w:sz w:val="28"/>
                        <w:szCs w:val="28"/>
                        <w:u w:color="000080"/>
                      </w:rPr>
                      <w:t>P.O. Box 495</w:t>
                    </w:r>
                  </w:p>
                  <w:p w14:paraId="3A1D3171" w14:textId="77777777" w:rsidR="00784320" w:rsidRDefault="00311C6E">
                    <w:pPr>
                      <w:pStyle w:val="Body"/>
                      <w:jc w:val="center"/>
                      <w:rPr>
                        <w:i/>
                        <w:iCs/>
                        <w:color w:val="000080"/>
                        <w:sz w:val="28"/>
                        <w:szCs w:val="28"/>
                        <w:u w:color="000080"/>
                      </w:rPr>
                    </w:pPr>
                    <w:r>
                      <w:rPr>
                        <w:i/>
                        <w:iCs/>
                        <w:color w:val="000080"/>
                        <w:sz w:val="28"/>
                        <w:szCs w:val="28"/>
                        <w:u w:color="000080"/>
                      </w:rPr>
                      <w:t xml:space="preserve">King Salmon, </w:t>
                    </w:r>
                    <w:proofErr w:type="gramStart"/>
                    <w:r>
                      <w:rPr>
                        <w:i/>
                        <w:iCs/>
                        <w:color w:val="000080"/>
                        <w:sz w:val="28"/>
                        <w:szCs w:val="28"/>
                        <w:u w:color="000080"/>
                      </w:rPr>
                      <w:t>Alaska  99613</w:t>
                    </w:r>
                    <w:proofErr w:type="gramEnd"/>
                  </w:p>
                  <w:p w14:paraId="0CFE869C" w14:textId="77777777" w:rsidR="00784320" w:rsidRDefault="00784320">
                    <w:pPr>
                      <w:pStyle w:val="Body"/>
                      <w:jc w:val="center"/>
                      <w:rPr>
                        <w:i/>
                        <w:iCs/>
                        <w:color w:val="000080"/>
                        <w:sz w:val="28"/>
                        <w:szCs w:val="28"/>
                        <w:u w:color="000080"/>
                      </w:rPr>
                    </w:pPr>
                  </w:p>
                  <w:p w14:paraId="1B7EB7E3" w14:textId="77777777" w:rsidR="00784320" w:rsidRDefault="00311C6E">
                    <w:pPr>
                      <w:pStyle w:val="Body"/>
                      <w:jc w:val="center"/>
                      <w:rPr>
                        <w:i/>
                        <w:iCs/>
                        <w:color w:val="000080"/>
                        <w:sz w:val="28"/>
                        <w:szCs w:val="28"/>
                        <w:u w:color="000080"/>
                      </w:rPr>
                    </w:pPr>
                    <w:proofErr w:type="gramStart"/>
                    <w:r>
                      <w:rPr>
                        <w:i/>
                        <w:iCs/>
                        <w:color w:val="000080"/>
                        <w:sz w:val="28"/>
                        <w:szCs w:val="28"/>
                        <w:u w:color="000080"/>
                        <w:lang w:val="it-IT"/>
                      </w:rPr>
                      <w:t>Telephone:  (</w:t>
                    </w:r>
                    <w:proofErr w:type="gramEnd"/>
                    <w:r>
                      <w:rPr>
                        <w:i/>
                        <w:iCs/>
                        <w:color w:val="000080"/>
                        <w:sz w:val="28"/>
                        <w:szCs w:val="28"/>
                        <w:u w:color="000080"/>
                        <w:lang w:val="it-IT"/>
                      </w:rPr>
                      <w:t>907) 246-3421</w:t>
                    </w:r>
                  </w:p>
                  <w:p w14:paraId="67612F31" w14:textId="77777777" w:rsidR="00784320" w:rsidRDefault="00311C6E">
                    <w:pPr>
                      <w:pStyle w:val="Body"/>
                      <w:jc w:val="center"/>
                    </w:pPr>
                    <w:r>
                      <w:rPr>
                        <w:i/>
                        <w:iCs/>
                        <w:color w:val="000080"/>
                        <w:sz w:val="28"/>
                        <w:szCs w:val="28"/>
                        <w:u w:color="000080"/>
                      </w:rPr>
                      <w:t>Fax</w:t>
                    </w:r>
                    <w:proofErr w:type="gramStart"/>
                    <w:r>
                      <w:rPr>
                        <w:i/>
                        <w:iCs/>
                        <w:color w:val="000080"/>
                        <w:sz w:val="28"/>
                        <w:szCs w:val="28"/>
                        <w:u w:color="000080"/>
                      </w:rPr>
                      <w:t>:  (</w:t>
                    </w:r>
                    <w:proofErr w:type="gramEnd"/>
                    <w:r>
                      <w:rPr>
                        <w:i/>
                        <w:iCs/>
                        <w:color w:val="000080"/>
                        <w:sz w:val="28"/>
                        <w:szCs w:val="28"/>
                        <w:u w:color="000080"/>
                      </w:rPr>
                      <w:t>907) 246-6602</w:t>
                    </w:r>
                  </w:p>
                </w:txbxContent>
              </v:textbox>
              <w10:wrap anchorx="page" anchory="page"/>
            </v:shape>
          </w:pict>
        </mc:Fallback>
      </mc:AlternateContent>
    </w:r>
    <w:r>
      <w:rPr>
        <w:noProof/>
      </w:rPr>
      <w:drawing>
        <wp:inline distT="0" distB="0" distL="0" distR="0" wp14:anchorId="3F7E5764" wp14:editId="6CEB7A15">
          <wp:extent cx="1800225" cy="1819275"/>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2"/>
                  <a:stretch>
                    <a:fillRect/>
                  </a:stretch>
                </pic:blipFill>
                <pic:spPr>
                  <a:xfrm>
                    <a:off x="0" y="0"/>
                    <a:ext cx="1800225" cy="18192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B067A"/>
    <w:multiLevelType w:val="hybridMultilevel"/>
    <w:tmpl w:val="52BE9AC8"/>
    <w:styleLink w:val="ImportedStyle1"/>
    <w:lvl w:ilvl="0" w:tplc="7E0043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1A3F8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40CC1C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6A841C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7C0D1A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DB64C1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E7AD0C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6DAAF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E18F99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960D9C"/>
    <w:multiLevelType w:val="multilevel"/>
    <w:tmpl w:val="81B8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13841"/>
    <w:multiLevelType w:val="multilevel"/>
    <w:tmpl w:val="A05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BF518C"/>
    <w:multiLevelType w:val="multilevel"/>
    <w:tmpl w:val="8072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03FAB"/>
    <w:multiLevelType w:val="hybridMultilevel"/>
    <w:tmpl w:val="52BE9AC8"/>
    <w:numStyleLink w:val="ImportedStyle1"/>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20"/>
    <w:rsid w:val="000B2C5C"/>
    <w:rsid w:val="002410CF"/>
    <w:rsid w:val="00311C6E"/>
    <w:rsid w:val="004726D5"/>
    <w:rsid w:val="007509D7"/>
    <w:rsid w:val="00780915"/>
    <w:rsid w:val="00784320"/>
    <w:rsid w:val="007C5F04"/>
    <w:rsid w:val="00980551"/>
    <w:rsid w:val="00A5578D"/>
    <w:rsid w:val="00A824CF"/>
    <w:rsid w:val="00B54ACB"/>
    <w:rsid w:val="00C848C2"/>
    <w:rsid w:val="00D22149"/>
    <w:rsid w:val="00F8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CC27"/>
  <w15:docId w15:val="{A6AFD0E9-89C5-8D43-8699-5B6C34DA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Style">
    <w:name w:val="Style"/>
    <w:pPr>
      <w:widowControl w:val="0"/>
    </w:pPr>
    <w:rPr>
      <w:rFonts w:cs="Arial Unicode MS"/>
      <w:color w:val="000000"/>
      <w:sz w:val="24"/>
      <w:szCs w:val="24"/>
      <w:u w:color="000000"/>
    </w:rPr>
  </w:style>
  <w:style w:type="paragraph" w:styleId="Footer">
    <w:name w:val="footer"/>
    <w:pPr>
      <w:tabs>
        <w:tab w:val="center" w:pos="4320"/>
        <w:tab w:val="right" w:pos="8640"/>
      </w:tabs>
    </w:pPr>
    <w:rPr>
      <w:rFonts w:eastAsia="Times New Roman"/>
      <w:color w:val="000000"/>
      <w:sz w:val="24"/>
      <w:szCs w:val="24"/>
      <w:u w:color="000000"/>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rFonts w:ascii="Century Gothic" w:eastAsia="Century Gothic" w:hAnsi="Century Gothic" w:cs="Century Gothic"/>
      <w:outline w:val="0"/>
      <w:color w:val="0000FF"/>
      <w:sz w:val="21"/>
      <w:szCs w:val="21"/>
      <w:u w:val="single" w:color="0000FF"/>
    </w:rPr>
  </w:style>
  <w:style w:type="paragraph" w:styleId="BalloonText">
    <w:name w:val="Balloon Text"/>
    <w:basedOn w:val="Normal"/>
    <w:link w:val="BalloonTextChar"/>
    <w:uiPriority w:val="99"/>
    <w:semiHidden/>
    <w:unhideWhenUsed/>
    <w:rsid w:val="00B54ACB"/>
    <w:rPr>
      <w:sz w:val="18"/>
      <w:szCs w:val="18"/>
    </w:rPr>
  </w:style>
  <w:style w:type="character" w:customStyle="1" w:styleId="BalloonTextChar">
    <w:name w:val="Balloon Text Char"/>
    <w:basedOn w:val="DefaultParagraphFont"/>
    <w:link w:val="BalloonText"/>
    <w:uiPriority w:val="99"/>
    <w:semiHidden/>
    <w:rsid w:val="00B54ACB"/>
    <w:rPr>
      <w:sz w:val="18"/>
      <w:szCs w:val="18"/>
    </w:rPr>
  </w:style>
  <w:style w:type="character" w:styleId="UnresolvedMention">
    <w:name w:val="Unresolved Mention"/>
    <w:basedOn w:val="DefaultParagraphFont"/>
    <w:uiPriority w:val="99"/>
    <w:semiHidden/>
    <w:unhideWhenUsed/>
    <w:rsid w:val="00F8580A"/>
    <w:rPr>
      <w:color w:val="605E5C"/>
      <w:shd w:val="clear" w:color="auto" w:fill="E1DFDD"/>
    </w:rPr>
  </w:style>
  <w:style w:type="paragraph" w:styleId="NormalWeb">
    <w:name w:val="Normal (Web)"/>
    <w:basedOn w:val="Normal"/>
    <w:uiPriority w:val="99"/>
    <w:semiHidden/>
    <w:unhideWhenUsed/>
    <w:rsid w:val="00F8580A"/>
  </w:style>
  <w:style w:type="character" w:styleId="FollowedHyperlink">
    <w:name w:val="FollowedHyperlink"/>
    <w:basedOn w:val="DefaultParagraphFont"/>
    <w:uiPriority w:val="99"/>
    <w:semiHidden/>
    <w:unhideWhenUsed/>
    <w:rsid w:val="00F8580A"/>
    <w:rPr>
      <w:color w:val="FF00FF" w:themeColor="followedHyperlink"/>
      <w:u w:val="single"/>
    </w:rPr>
  </w:style>
  <w:style w:type="paragraph" w:styleId="Header">
    <w:name w:val="header"/>
    <w:basedOn w:val="Normal"/>
    <w:link w:val="HeaderChar"/>
    <w:uiPriority w:val="99"/>
    <w:unhideWhenUsed/>
    <w:rsid w:val="007C5F04"/>
    <w:pPr>
      <w:tabs>
        <w:tab w:val="center" w:pos="4680"/>
        <w:tab w:val="right" w:pos="9360"/>
      </w:tabs>
    </w:pPr>
  </w:style>
  <w:style w:type="character" w:customStyle="1" w:styleId="HeaderChar">
    <w:name w:val="Header Char"/>
    <w:basedOn w:val="DefaultParagraphFont"/>
    <w:link w:val="Header"/>
    <w:uiPriority w:val="99"/>
    <w:rsid w:val="007C5F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334286">
      <w:bodyDiv w:val="1"/>
      <w:marLeft w:val="0"/>
      <w:marRight w:val="0"/>
      <w:marTop w:val="0"/>
      <w:marBottom w:val="0"/>
      <w:divBdr>
        <w:top w:val="none" w:sz="0" w:space="0" w:color="auto"/>
        <w:left w:val="none" w:sz="0" w:space="0" w:color="auto"/>
        <w:bottom w:val="none" w:sz="0" w:space="0" w:color="auto"/>
        <w:right w:val="none" w:sz="0" w:space="0" w:color="auto"/>
      </w:divBdr>
    </w:div>
    <w:div w:id="508760687">
      <w:bodyDiv w:val="1"/>
      <w:marLeft w:val="0"/>
      <w:marRight w:val="0"/>
      <w:marTop w:val="0"/>
      <w:marBottom w:val="0"/>
      <w:divBdr>
        <w:top w:val="none" w:sz="0" w:space="0" w:color="auto"/>
        <w:left w:val="none" w:sz="0" w:space="0" w:color="auto"/>
        <w:bottom w:val="none" w:sz="0" w:space="0" w:color="auto"/>
        <w:right w:val="none" w:sz="0" w:space="0" w:color="auto"/>
      </w:divBdr>
    </w:div>
    <w:div w:id="654994177">
      <w:bodyDiv w:val="1"/>
      <w:marLeft w:val="0"/>
      <w:marRight w:val="0"/>
      <w:marTop w:val="0"/>
      <w:marBottom w:val="0"/>
      <w:divBdr>
        <w:top w:val="none" w:sz="0" w:space="0" w:color="auto"/>
        <w:left w:val="none" w:sz="0" w:space="0" w:color="auto"/>
        <w:bottom w:val="none" w:sz="0" w:space="0" w:color="auto"/>
        <w:right w:val="none" w:sz="0" w:space="0" w:color="auto"/>
      </w:divBdr>
    </w:div>
    <w:div w:id="772631171">
      <w:bodyDiv w:val="1"/>
      <w:marLeft w:val="0"/>
      <w:marRight w:val="0"/>
      <w:marTop w:val="0"/>
      <w:marBottom w:val="0"/>
      <w:divBdr>
        <w:top w:val="none" w:sz="0" w:space="0" w:color="auto"/>
        <w:left w:val="none" w:sz="0" w:space="0" w:color="auto"/>
        <w:bottom w:val="none" w:sz="0" w:space="0" w:color="auto"/>
        <w:right w:val="none" w:sz="0" w:space="0" w:color="auto"/>
      </w:divBdr>
    </w:div>
    <w:div w:id="1355811845">
      <w:bodyDiv w:val="1"/>
      <w:marLeft w:val="0"/>
      <w:marRight w:val="0"/>
      <w:marTop w:val="0"/>
      <w:marBottom w:val="0"/>
      <w:divBdr>
        <w:top w:val="none" w:sz="0" w:space="0" w:color="auto"/>
        <w:left w:val="none" w:sz="0" w:space="0" w:color="auto"/>
        <w:bottom w:val="none" w:sz="0" w:space="0" w:color="auto"/>
        <w:right w:val="none" w:sz="0" w:space="0" w:color="auto"/>
      </w:divBdr>
    </w:div>
    <w:div w:id="1477331456">
      <w:bodyDiv w:val="1"/>
      <w:marLeft w:val="0"/>
      <w:marRight w:val="0"/>
      <w:marTop w:val="0"/>
      <w:marBottom w:val="0"/>
      <w:divBdr>
        <w:top w:val="none" w:sz="0" w:space="0" w:color="auto"/>
        <w:left w:val="none" w:sz="0" w:space="0" w:color="auto"/>
        <w:bottom w:val="none" w:sz="0" w:space="0" w:color="auto"/>
        <w:right w:val="none" w:sz="0" w:space="0" w:color="auto"/>
      </w:divBdr>
    </w:div>
    <w:div w:id="1564370886">
      <w:bodyDiv w:val="1"/>
      <w:marLeft w:val="0"/>
      <w:marRight w:val="0"/>
      <w:marTop w:val="0"/>
      <w:marBottom w:val="0"/>
      <w:divBdr>
        <w:top w:val="none" w:sz="0" w:space="0" w:color="auto"/>
        <w:left w:val="none" w:sz="0" w:space="0" w:color="auto"/>
        <w:bottom w:val="none" w:sz="0" w:space="0" w:color="auto"/>
        <w:right w:val="none" w:sz="0" w:space="0" w:color="auto"/>
      </w:divBdr>
    </w:div>
    <w:div w:id="1652249421">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nks.gd/l/eyJhbGciOiJIUzI1NiJ9.eyJidWxsZXRpbl9saW5rX2lkIjoxMDEsInVyaSI6ImJwMjpjbGljayIsImJ1bGxldGluX2lkIjoiMjAyMDEyMDMuMzE0Nzk1MjEiLCJ1cmwiOiJodHRwczovL3d3dy5jZGMuZ292L2Nvcm9uYXZpcnVzLzIwMTktbmNvdi9tb3JlL3NjaWVudGlmaWMtYnJpZWYtb3B0aW9ucy10by1yZWR1Y2UtcXVhcmFudGluZS5odG1sIn0.UXI4K-ZIDdEST7i2p4YKn0jXMTNVP75iX3gf2ums5l8/s/1356872082/br/90964824013-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sa.usda.gov/news-room/stakeholder-information/2020/usda-extends-deadline-for-seafood-trade-relief-program?utm_campaign=strp&amp;utm_medium=email&amp;utm_source=govdeliver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3EA47-B651-6F4B-BCB5-1B9A7130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Kate Conley</cp:lastModifiedBy>
  <cp:revision>2</cp:revision>
  <dcterms:created xsi:type="dcterms:W3CDTF">2020-12-07T21:53:00Z</dcterms:created>
  <dcterms:modified xsi:type="dcterms:W3CDTF">2020-12-07T21:53:00Z</dcterms:modified>
</cp:coreProperties>
</file>